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Fiche Technique</w:t>
      </w:r>
    </w:p>
    <w:p>
      <w:pPr>
        <w:pStyle w:val="Corps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>Shirono Ballon</w:t>
      </w:r>
    </w:p>
    <w:p>
      <w:pPr>
        <w:pStyle w:val="Corps"/>
        <w:jc w:val="center"/>
        <w:rPr>
          <w:b w:val="1"/>
          <w:bCs w:val="1"/>
          <w:i w:val="1"/>
          <w:iCs w:val="1"/>
        </w:rPr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Contact</w:t>
      </w:r>
    </w:p>
    <w:p>
      <w:pPr>
        <w:pStyle w:val="Corps"/>
        <w:jc w:val="both"/>
      </w:pPr>
    </w:p>
    <w:tbl>
      <w:tblPr>
        <w:tblW w:w="107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0"/>
        <w:gridCol w:w="2734"/>
        <w:gridCol w:w="4676"/>
        <w:gridCol w:w="1932"/>
      </w:tblGrid>
      <w:tr>
        <w:tblPrEx>
          <w:shd w:val="clear" w:color="auto" w:fill="auto"/>
        </w:tblPrEx>
        <w:trPr>
          <w:trHeight w:val="338" w:hRule="atLeast"/>
        </w:trPr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Producteur</w:t>
            </w:r>
          </w:p>
        </w:tc>
        <w:tc>
          <w:tcPr>
            <w:tcW w:type="dxa" w:w="2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Ryunosuke Yamazumi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"mailto:ryunosukeyamazumi@hotmail.com"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ryunosukeyamazumi@hotmail.com</w:t>
            </w:r>
            <w:r>
              <w:rPr/>
              <w:fldChar w:fldCharType="end" w:fldLock="0"/>
            </w:r>
          </w:p>
        </w:tc>
        <w:tc>
          <w:tcPr>
            <w:tcW w:type="dxa" w:w="1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</w:rPr>
              <w:t>418-261-7863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gisseure</w:t>
            </w:r>
          </w:p>
        </w:tc>
        <w:tc>
          <w:tcPr>
            <w:tcW w:type="dxa" w:w="2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Andr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anne Lafleur Caouette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"mailto:andreanne_lafleur_caouette@hotmail.com"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fr-FR"/>
              </w:rPr>
              <w:t>andreanne_lafleur_caouette@hotmail.com</w:t>
            </w:r>
            <w:r>
              <w:rPr/>
              <w:fldChar w:fldCharType="end" w:fldLock="0"/>
            </w:r>
          </w:p>
        </w:tc>
        <w:tc>
          <w:tcPr>
            <w:tcW w:type="dxa" w:w="1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418-456-3844</w:t>
            </w:r>
          </w:p>
        </w:tc>
      </w:tr>
    </w:tbl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Le spectacle Shirono Ballon est encore en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ation, cette fiche technique pourrait changer en fonction de la prochaine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 de travail sur le spectacle.  Il est aussi possible de faire une adaptation des plans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 en fonction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espace sc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nique.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quipe: </w:t>
      </w:r>
    </w:p>
    <w:tbl>
      <w:tblPr>
        <w:tblW w:w="107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8"/>
        <w:gridCol w:w="2698"/>
        <w:gridCol w:w="2698"/>
        <w:gridCol w:w="269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Artistes de cirque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quipe technique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personne en coulisse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gisseuse</w:t>
            </w:r>
          </w:p>
        </w:tc>
      </w:tr>
    </w:tbl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Espace Sc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nique minimal:</w:t>
      </w:r>
    </w:p>
    <w:p>
      <w:pPr>
        <w:pStyle w:val="Corps"/>
        <w:jc w:val="both"/>
        <w:rPr>
          <w:b w:val="1"/>
          <w:bCs w:val="1"/>
        </w:rPr>
      </w:pPr>
    </w:p>
    <w:tbl>
      <w:tblPr>
        <w:tblW w:w="107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3"/>
        <w:gridCol w:w="819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Largeur (espace de jeu)</w:t>
            </w:r>
          </w:p>
        </w:tc>
        <w:tc>
          <w:tcPr>
            <w:tcW w:type="dxa" w:w="8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30 pieds ou 9,15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tres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Profondeur (espace de jeu)</w:t>
            </w:r>
          </w:p>
        </w:tc>
        <w:tc>
          <w:tcPr>
            <w:tcW w:type="dxa" w:w="8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25 pieds ou 7,62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tres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Hauteur (espace de jeu)</w:t>
            </w:r>
          </w:p>
        </w:tc>
        <w:tc>
          <w:tcPr>
            <w:tcW w:type="dxa" w:w="8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24 pieds sous les porteuses (7,3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tres)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Coulisses (jardin et cour)</w:t>
            </w:r>
          </w:p>
        </w:tc>
        <w:tc>
          <w:tcPr>
            <w:tcW w:type="dxa" w:w="8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 pieds de chaque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(2,4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tres)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re-sc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ne (passage)</w:t>
            </w:r>
          </w:p>
        </w:tc>
        <w:tc>
          <w:tcPr>
            <w:tcW w:type="dxa" w:w="8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3,5 pieds derri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le rideau (1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tre)</w:t>
            </w:r>
          </w:p>
        </w:tc>
      </w:tr>
    </w:tbl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Particularit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espace de jeu:</w:t>
      </w:r>
    </w:p>
    <w:p>
      <w:pPr>
        <w:pStyle w:val="Corps"/>
        <w:jc w:val="both"/>
      </w:pPr>
      <w:r>
        <w:rPr>
          <w:rtl w:val="0"/>
          <w:lang w:val="fr-FR"/>
        </w:rPr>
        <w:t>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italienne avec un rideau de fond noir.</w:t>
      </w:r>
    </w:p>
    <w:p>
      <w:pPr>
        <w:pStyle w:val="Corps"/>
        <w:jc w:val="both"/>
      </w:pPr>
      <w:r>
        <w:rPr>
          <w:rtl w:val="0"/>
          <w:lang w:val="fr-FR"/>
        </w:rPr>
        <w:t>Plancher lisse au niveau, noir.</w:t>
      </w:r>
    </w:p>
    <w:p>
      <w:pPr>
        <w:pStyle w:val="Corps"/>
        <w:jc w:val="both"/>
      </w:pPr>
      <w:r>
        <w:rPr>
          <w:rtl w:val="0"/>
          <w:lang w:val="fr-FR"/>
        </w:rPr>
        <w:t>4 tables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accessoires sont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cessaires en coulisse, 2 de chaque c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jc w:val="both"/>
      </w:pPr>
      <w:r>
        <w:rPr>
          <w:rtl w:val="0"/>
          <w:lang w:val="fr-FR"/>
        </w:rPr>
        <w:t>Une faible lumi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bleue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 en coulisse en tout temps, incluant pendant la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Horaire de montage: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quipe locale</w:t>
      </w:r>
    </w:p>
    <w:p>
      <w:pPr>
        <w:pStyle w:val="Corps"/>
        <w:jc w:val="both"/>
      </w:pPr>
      <w:r>
        <w:rPr>
          <w:rtl w:val="0"/>
          <w:lang w:val="fr-FR"/>
        </w:rPr>
        <w:t xml:space="preserve">6 heures avec 3 techniciens +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 de tourn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</w:t>
      </w:r>
    </w:p>
    <w:p>
      <w:pPr>
        <w:pStyle w:val="Corps"/>
        <w:jc w:val="both"/>
      </w:pPr>
      <w:r>
        <w:rPr>
          <w:rtl w:val="0"/>
          <w:lang w:val="fr-FR"/>
        </w:rPr>
        <w:t>Montage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cor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de tourn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e: 2h</w:t>
      </w:r>
    </w:p>
    <w:p>
      <w:pPr>
        <w:pStyle w:val="Corps"/>
        <w:jc w:val="both"/>
      </w:pPr>
      <w:r>
        <w:rPr>
          <w:rtl w:val="0"/>
          <w:lang w:val="fr-FR"/>
        </w:rPr>
        <w:t xml:space="preserve">Installation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clairages/focus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locale et notre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gisseur: 4h</w:t>
      </w:r>
    </w:p>
    <w:p>
      <w:pPr>
        <w:pStyle w:val="Corps"/>
        <w:jc w:val="both"/>
      </w:pP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fin du montage: 2h</w:t>
      </w:r>
    </w:p>
    <w:p>
      <w:pPr>
        <w:pStyle w:val="Corps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appel du spectacle se fait 1h avant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ouverture des portes.</w:t>
      </w:r>
    </w:p>
    <w:p>
      <w:pPr>
        <w:pStyle w:val="Corps"/>
        <w:jc w:val="both"/>
      </w:pP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gisseuse manipule le spectacle en entier, une seule personne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locale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 pendant la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 afin de pallier aux impr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vus.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Horaire de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montage: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quipe locale</w:t>
      </w:r>
    </w:p>
    <w:p>
      <w:pPr>
        <w:pStyle w:val="Corps"/>
        <w:jc w:val="both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montage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cor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de tourn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e: 1h</w:t>
      </w:r>
    </w:p>
    <w:p>
      <w:pPr>
        <w:pStyle w:val="Corps"/>
        <w:jc w:val="both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montage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clairages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quipe locale: 2h, selon ce qui doit absolument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Loges</w:t>
      </w:r>
    </w:p>
    <w:p>
      <w:pPr>
        <w:pStyle w:val="Corps"/>
        <w:jc w:val="both"/>
      </w:pPr>
      <w:r>
        <w:rPr>
          <w:rtl w:val="0"/>
          <w:lang w:val="fr-FR"/>
        </w:rPr>
        <w:t>1 loge pouvant accueillir 4 personnes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cessaire.</w:t>
      </w:r>
    </w:p>
    <w:p>
      <w:pPr>
        <w:pStyle w:val="Corps"/>
        <w:jc w:val="both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quipements: Miroirs, porte-costumes, salle de bain avec douche et serviettes pour 2 personnes.</w:t>
      </w:r>
    </w:p>
    <w:p>
      <w:pPr>
        <w:pStyle w:val="Corps"/>
        <w:jc w:val="both"/>
      </w:pPr>
      <w:r>
        <w:rPr>
          <w:rtl w:val="0"/>
          <w:lang w:val="fr-FR"/>
        </w:rPr>
        <w:t>Un frigo ou mini frigo est un bon atout.</w:t>
      </w:r>
    </w:p>
    <w:p>
      <w:pPr>
        <w:pStyle w:val="Corps"/>
        <w:jc w:val="both"/>
      </w:pPr>
      <w:r>
        <w:rPr>
          <w:rtl w:val="0"/>
          <w:lang w:val="fr-FR"/>
        </w:rPr>
        <w:t>Le diffuseur devra fournir un point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eau ou des bouteilles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eau.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Stationnement:</w:t>
      </w:r>
    </w:p>
    <w:p>
      <w:pPr>
        <w:pStyle w:val="Corps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voyage avec 2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hicules dont 1 camion pour contenir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cor.</w:t>
      </w:r>
    </w:p>
    <w:p>
      <w:pPr>
        <w:pStyle w:val="Corps"/>
        <w:jc w:val="both"/>
      </w:pPr>
      <w:r>
        <w:rPr>
          <w:rtl w:val="0"/>
          <w:lang w:val="fr-FR"/>
        </w:rPr>
        <w:t>Le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devra pouvoir accommoder les 2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hicules, 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que le camion la nuit dans le cas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le spectacle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plusieurs jours.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clairages:</w:t>
      </w:r>
    </w:p>
    <w:p>
      <w:pPr>
        <w:pStyle w:val="Corps"/>
        <w:jc w:val="both"/>
      </w:pPr>
      <w:r>
        <w:rPr>
          <w:rtl w:val="0"/>
          <w:lang w:val="fr-FR"/>
        </w:rPr>
        <w:t>Le plan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 adapt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pourra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envoy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avance dans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lais habituels de votre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tablissement.</w:t>
      </w:r>
    </w:p>
    <w:p>
      <w:pPr>
        <w:pStyle w:val="Corps"/>
        <w:jc w:val="both"/>
      </w:pPr>
      <w:r>
        <w:rPr>
          <w:rtl w:val="0"/>
          <w:lang w:val="fr-FR"/>
        </w:rPr>
        <w:t>Le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devra fournir ses plans de salle afin de faire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adaptation du plan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Le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 devra fournir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suivants:</w:t>
      </w:r>
    </w:p>
    <w:p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 xml:space="preserve">Console programmables en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cues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 xml:space="preserve">, avec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cran.</w:t>
      </w:r>
    </w:p>
    <w:p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 xml:space="preserve">Machine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brume contr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 xml:space="preserve">lable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partir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gie.</w:t>
      </w:r>
    </w:p>
    <w:p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Circuits pour brancher toutes les lampes individuellement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9 Lekos 36 degr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(FOH) ou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quivalent (traditionnels et/ou LED)</w:t>
      </w:r>
    </w:p>
    <w:p>
      <w:pPr>
        <w:pStyle w:val="Corps"/>
        <w:jc w:val="both"/>
      </w:pPr>
      <w:r>
        <w:rPr>
          <w:rtl w:val="0"/>
          <w:lang w:val="fr-FR"/>
        </w:rPr>
        <w:t xml:space="preserve">3 Fresnel 2K (FOH) ou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quivalent (LED)</w:t>
      </w:r>
    </w:p>
    <w:p>
      <w:pPr>
        <w:pStyle w:val="Corps"/>
        <w:jc w:val="both"/>
      </w:pPr>
      <w:r>
        <w:rPr>
          <w:rtl w:val="0"/>
          <w:lang w:val="fr-FR"/>
        </w:rPr>
        <w:t>16 Lekos 19 ou 36 degr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ou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quivalent (traditionnels et/ou LED) (Grid)</w:t>
      </w:r>
    </w:p>
    <w:p>
      <w:pPr>
        <w:pStyle w:val="Corps"/>
        <w:jc w:val="both"/>
      </w:pPr>
      <w:r>
        <w:rPr>
          <w:rtl w:val="0"/>
          <w:lang w:val="fr-FR"/>
        </w:rPr>
        <w:t>12 Fresnel 1K ou PAR LED (RGBW) (Grid)</w:t>
      </w:r>
    </w:p>
    <w:p>
      <w:pPr>
        <w:pStyle w:val="Corps"/>
        <w:jc w:val="both"/>
      </w:pPr>
      <w:r>
        <w:rPr>
          <w:rtl w:val="0"/>
          <w:lang w:val="fr-FR"/>
        </w:rPr>
        <w:t>12 PAR LED (RGBW) (Sol)</w:t>
      </w:r>
    </w:p>
    <w:p>
      <w:pPr>
        <w:pStyle w:val="Corps"/>
        <w:jc w:val="both"/>
      </w:pPr>
      <w:r>
        <w:rPr>
          <w:rtl w:val="0"/>
          <w:lang w:val="fr-FR"/>
        </w:rPr>
        <w:t>12 Leko 19 degr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ou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quivalent ou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petites fresnels LED avec porte de grange. (Boom)</w:t>
      </w:r>
    </w:p>
    <w:p>
      <w:pPr>
        <w:pStyle w:val="Corps"/>
        <w:jc w:val="both"/>
      </w:pPr>
      <w:r>
        <w:rPr>
          <w:rtl w:val="0"/>
          <w:lang w:val="fr-FR"/>
        </w:rPr>
        <w:t xml:space="preserve">6 Booms de 8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10 pieds</w:t>
      </w:r>
    </w:p>
    <w:p>
      <w:pPr>
        <w:pStyle w:val="Corps"/>
        <w:jc w:val="both"/>
      </w:pPr>
      <w:r>
        <w:rPr>
          <w:rtl w:val="0"/>
          <w:lang w:val="fr-FR"/>
        </w:rPr>
        <w:t>6 Plaque pour sol</w:t>
      </w:r>
    </w:p>
    <w:p>
      <w:pPr>
        <w:pStyle w:val="Corps"/>
        <w:jc w:val="both"/>
      </w:pPr>
      <w:r>
        <w:rPr>
          <w:rtl w:val="0"/>
          <w:lang w:val="fr-FR"/>
        </w:rPr>
        <w:t>13 portes de grange si Fresnel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Sonorisation</w:t>
      </w:r>
    </w:p>
    <w:p>
      <w:pPr>
        <w:pStyle w:val="Corps"/>
        <w:jc w:val="both"/>
      </w:pPr>
      <w:r>
        <w:rPr>
          <w:rtl w:val="0"/>
          <w:lang w:val="fr-FR"/>
        </w:rPr>
        <w:t>1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de diffusion de salle complet (PA)</w:t>
      </w:r>
    </w:p>
    <w:p>
      <w:pPr>
        <w:pStyle w:val="Corps"/>
        <w:jc w:val="both"/>
      </w:pPr>
      <w:r>
        <w:rPr>
          <w:rtl w:val="0"/>
          <w:lang w:val="fr-FR"/>
        </w:rPr>
        <w:t>2 moniteurs sur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</w:t>
      </w:r>
    </w:p>
    <w:p>
      <w:pPr>
        <w:pStyle w:val="Corps"/>
        <w:jc w:val="both"/>
      </w:pPr>
      <w:r>
        <w:rPr>
          <w:rtl w:val="0"/>
          <w:lang w:val="fr-FR"/>
        </w:rPr>
        <w:t>1 Console analogique ou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(si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fournir un technicien pour le set up initial)</w:t>
      </w:r>
    </w:p>
    <w:p>
      <w:pPr>
        <w:pStyle w:val="Corps"/>
        <w:jc w:val="both"/>
      </w:pPr>
      <w:r>
        <w:rPr>
          <w:rtl w:val="0"/>
        </w:rPr>
        <w:tab/>
        <w:t>Minimum de 8 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disponibles.</w:t>
      </w:r>
    </w:p>
    <w:p>
      <w:pPr>
        <w:pStyle w:val="Corps"/>
        <w:jc w:val="both"/>
      </w:pPr>
      <w:r>
        <w:rPr>
          <w:rtl w:val="0"/>
          <w:lang w:val="fr-FR"/>
        </w:rPr>
        <w:t>2 DI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c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Jardin (module piano-loop-voix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brancher) +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lectricit</w:t>
      </w:r>
      <w:r>
        <w:rPr>
          <w:rtl w:val="0"/>
          <w:lang w:val="fr-FR"/>
        </w:rPr>
        <w:t>é</w:t>
      </w:r>
    </w:p>
    <w:p>
      <w:pPr>
        <w:pStyle w:val="Corps"/>
        <w:jc w:val="both"/>
      </w:pPr>
      <w:r>
        <w:rPr>
          <w:rtl w:val="0"/>
          <w:lang w:val="fr-FR"/>
        </w:rPr>
        <w:t>1 micro casque: beige, 2 oreilles +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cepteur</w:t>
      </w:r>
    </w:p>
    <w:p>
      <w:pPr>
        <w:pStyle w:val="Corps"/>
        <w:jc w:val="both"/>
      </w:pPr>
      <w:r>
        <w:rPr>
          <w:rtl w:val="0"/>
          <w:lang w:val="fr-FR"/>
        </w:rPr>
        <w:t>2 prises Jack 1/8</w:t>
      </w:r>
    </w:p>
    <w:p>
      <w:pPr>
        <w:pStyle w:val="Corps"/>
        <w:jc w:val="both"/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La console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clairage ainsi que la console de son doivent </w:t>
      </w:r>
      <w:r>
        <w:rPr>
          <w:rFonts w:ascii="Arial Narrow" w:hAnsi="Arial Narrow" w:hint="default"/>
          <w:sz w:val="22"/>
          <w:szCs w:val="22"/>
          <w:rtl w:val="0"/>
        </w:rPr>
        <w:t>ê</w:t>
      </w:r>
      <w:r>
        <w:rPr>
          <w:rFonts w:ascii="Arial Narrow" w:hAnsi="Arial Narrow"/>
          <w:sz w:val="22"/>
          <w:szCs w:val="22"/>
          <w:rtl w:val="0"/>
          <w:lang w:val="it-IT"/>
        </w:rPr>
        <w:t>tre dispos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es de mani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è</w:t>
      </w:r>
      <w:r>
        <w:rPr>
          <w:rFonts w:ascii="Arial Narrow" w:hAnsi="Arial Narrow"/>
          <w:sz w:val="22"/>
          <w:szCs w:val="22"/>
          <w:rtl w:val="0"/>
        </w:rPr>
        <w:t xml:space="preserve">re </w:t>
      </w:r>
      <w:r>
        <w:rPr>
          <w:rFonts w:ascii="Arial Narrow" w:hAnsi="Arial Narrow" w:hint="default"/>
          <w:sz w:val="22"/>
          <w:szCs w:val="22"/>
          <w:rtl w:val="0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>ce que notre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gisseur puisse les manipuler ais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</w:rPr>
        <w:t xml:space="preserve">ment.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faut de quoi, nous demandons </w:t>
      </w:r>
      <w:r>
        <w:rPr>
          <w:rFonts w:ascii="Arial Narrow" w:hAnsi="Arial Narrow" w:hint="default"/>
          <w:sz w:val="22"/>
          <w:szCs w:val="22"/>
          <w:rtl w:val="0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>ce qu</w:t>
      </w:r>
      <w:r>
        <w:rPr>
          <w:rFonts w:ascii="Arial Narrow" w:hAnsi="Arial Narrow" w:hint="default"/>
          <w:sz w:val="22"/>
          <w:szCs w:val="22"/>
          <w:rtl w:val="1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un technicien de votre institution soit </w:t>
      </w:r>
      <w:r>
        <w:rPr>
          <w:rFonts w:ascii="Arial Narrow" w:hAnsi="Arial Narrow" w:hint="default"/>
          <w:sz w:val="22"/>
          <w:szCs w:val="22"/>
          <w:rtl w:val="0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>disposition de notre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gisseur pour manipuler l</w:t>
      </w:r>
      <w:r>
        <w:rPr>
          <w:rFonts w:ascii="Arial Narrow" w:hAnsi="Arial Narrow" w:hint="default"/>
          <w:sz w:val="22"/>
          <w:szCs w:val="22"/>
          <w:rtl w:val="1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une ou l</w:t>
      </w:r>
      <w:r>
        <w:rPr>
          <w:rFonts w:ascii="Arial Narrow" w:hAnsi="Arial Narrow" w:hint="default"/>
          <w:sz w:val="22"/>
          <w:szCs w:val="22"/>
          <w:rtl w:val="1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autre des consoles. </w:t>
      </w:r>
    </w:p>
    <w:p>
      <w:pPr>
        <w:pStyle w:val="Corps"/>
        <w:jc w:val="both"/>
      </w:pPr>
      <w:r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Tiret">
    <w:name w:val="Tiret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